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380" w:rsidRDefault="00D96849">
      <w:pPr>
        <w:jc w:val="right"/>
        <w:rPr>
          <w:rFonts w:ascii="Saira" w:hAnsi="Saira"/>
          <w:b/>
          <w:bCs/>
          <w:color w:val="7F7F7F"/>
          <w:sz w:val="44"/>
          <w:szCs w:val="44"/>
        </w:rPr>
      </w:pPr>
      <w:r>
        <w:rPr>
          <w:rFonts w:ascii="Saira" w:hAnsi="Saira"/>
          <w:b/>
          <w:bCs/>
          <w:noProof/>
          <w:color w:val="7F7F7F"/>
          <w:sz w:val="44"/>
          <w:szCs w:val="44"/>
          <w:lang w:eastAsia="de-DE"/>
        </w:rPr>
        <mc:AlternateContent>
          <mc:Choice Requires="wpg">
            <w:drawing>
              <wp:inline distT="0" distB="0" distL="0" distR="0">
                <wp:extent cx="2901600" cy="630000"/>
                <wp:effectExtent l="0" t="0" r="0" b="0"/>
                <wp:docPr id="1" name="Grafik 1" descr="V:\allgemein\Vorlagen\Kommunikation und Marketing\Logos\THD_DIT\THD-Logo_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lgemein\Vorlagen\Kommunikation und Marketing\Logos\THD_DIT\THD-Logo_grau.png"/>
                        <pic:cNvPicPr>
                          <a:picLocks noChangeAspect="1"/>
                        </pic:cNvPicPr>
                      </pic:nvPicPr>
                      <pic:blipFill>
                        <a:blip r:embed="rId8"/>
                        <a:stretch/>
                      </pic:blipFill>
                      <pic:spPr bwMode="auto">
                        <a:xfrm>
                          <a:off x="0" y="0"/>
                          <a:ext cx="2901600" cy="630000"/>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28.47pt;height:49.61pt;mso-wrap-distance-left:0.00pt;mso-wrap-distance-top:0.00pt;mso-wrap-distance-right:0.00pt;mso-wrap-distance-bottom:0.00pt;z-index:1;" stroked="f">
                <v:imagedata r:id="rId10" o:title=""/>
                <o:lock v:ext="edit" rotation="t"/>
              </v:shape>
            </w:pict>
          </mc:Fallback>
        </mc:AlternateContent>
      </w:r>
    </w:p>
    <w:p w:rsidR="00384380" w:rsidRDefault="00384380">
      <w:pPr>
        <w:jc w:val="right"/>
        <w:rPr>
          <w:rFonts w:ascii="Saira" w:hAnsi="Saira"/>
          <w:b/>
          <w:bCs/>
          <w:color w:val="7F7F7F"/>
          <w:sz w:val="44"/>
          <w:szCs w:val="44"/>
        </w:rPr>
      </w:pPr>
    </w:p>
    <w:p w:rsidR="00384380" w:rsidRDefault="00384380">
      <w:pPr>
        <w:rPr>
          <w:rFonts w:ascii="Saira" w:hAnsi="Saira"/>
          <w:b/>
          <w:bCs/>
          <w:color w:val="7F7F7F"/>
          <w:sz w:val="44"/>
          <w:szCs w:val="44"/>
        </w:rPr>
      </w:pPr>
    </w:p>
    <w:p w:rsidR="00384380" w:rsidRDefault="00D96849">
      <w:pPr>
        <w:rPr>
          <w:rFonts w:ascii="Saira" w:hAnsi="Saira"/>
          <w:b/>
          <w:bCs/>
          <w:color w:val="7F7F7F"/>
          <w:sz w:val="44"/>
          <w:szCs w:val="44"/>
        </w:rPr>
      </w:pPr>
      <w:r>
        <w:rPr>
          <w:rFonts w:ascii="Saira" w:hAnsi="Saira"/>
          <w:b/>
          <w:bCs/>
          <w:color w:val="7F7F7F"/>
          <w:sz w:val="44"/>
          <w:szCs w:val="44"/>
        </w:rPr>
        <w:t>Pressemitteilung</w:t>
      </w:r>
    </w:p>
    <w:p w:rsidR="00384380" w:rsidRDefault="00384380">
      <w:pPr>
        <w:rPr>
          <w:rFonts w:ascii="Saira" w:hAnsi="Saira"/>
        </w:rPr>
      </w:pPr>
    </w:p>
    <w:p w:rsidR="00384380" w:rsidRDefault="00F97ED0">
      <w:pPr>
        <w:rPr>
          <w:rFonts w:ascii="Saira" w:hAnsi="Saira"/>
        </w:rPr>
      </w:pPr>
      <w:r w:rsidRPr="00F97ED0">
        <w:rPr>
          <w:rFonts w:ascii="Saira" w:hAnsi="Saira"/>
        </w:rPr>
        <w:t>26</w:t>
      </w:r>
      <w:r w:rsidR="00D96849" w:rsidRPr="00F97ED0">
        <w:rPr>
          <w:rFonts w:ascii="Saira" w:hAnsi="Saira"/>
        </w:rPr>
        <w:t>.08.2024</w:t>
      </w:r>
      <w:r w:rsidR="00D96849">
        <w:rPr>
          <w:rFonts w:ascii="Saira" w:hAnsi="Saira"/>
        </w:rPr>
        <w:t xml:space="preserve"> | Spiegelau</w:t>
      </w:r>
    </w:p>
    <w:p w:rsidR="00384380" w:rsidRDefault="00384380">
      <w:pPr>
        <w:rPr>
          <w:rFonts w:ascii="Saira" w:hAnsi="Saira"/>
        </w:rPr>
      </w:pPr>
    </w:p>
    <w:p w:rsidR="00384380" w:rsidRDefault="00D96849">
      <w:pPr>
        <w:rPr>
          <w:rFonts w:ascii="Saira" w:hAnsi="Saira"/>
          <w:b/>
          <w:bCs/>
          <w:sz w:val="28"/>
          <w:szCs w:val="28"/>
        </w:rPr>
      </w:pPr>
      <w:r>
        <w:rPr>
          <w:rFonts w:ascii="Saira" w:hAnsi="Saira"/>
          <w:b/>
          <w:bCs/>
          <w:sz w:val="28"/>
          <w:szCs w:val="28"/>
        </w:rPr>
        <w:t>Automatisierter Bus Shuttle in Spiegelau getestet</w:t>
      </w:r>
    </w:p>
    <w:p w:rsidR="00384380" w:rsidRDefault="00384380">
      <w:pPr>
        <w:jc w:val="both"/>
        <w:rPr>
          <w:rFonts w:ascii="Saira" w:hAnsi="Saira"/>
        </w:rPr>
      </w:pPr>
    </w:p>
    <w:p w:rsidR="00384380" w:rsidRDefault="00D96849">
      <w:pPr>
        <w:jc w:val="both"/>
        <w:rPr>
          <w:rFonts w:ascii="Saira" w:hAnsi="Saira" w:cstheme="majorHAnsi"/>
        </w:rPr>
      </w:pPr>
      <w:r>
        <w:rPr>
          <w:rFonts w:ascii="Saira" w:hAnsi="Saira" w:cstheme="majorHAnsi"/>
        </w:rPr>
        <w:t>Am Donnerstag, den 08. August kamen die Partner des Projekts 5G in der Nationalparkregion (5GNPR) in Spiegelau zu dem Abschluss eines Teilbereichs des Projekts zusammen, in dem der Aufbau eines automatisierten Bus Shuttles für Touristen getestet wurde. Neb</w:t>
      </w:r>
      <w:r>
        <w:rPr>
          <w:rFonts w:ascii="Saira" w:hAnsi="Saira" w:cstheme="majorHAnsi"/>
        </w:rPr>
        <w:t>en dem Technologie Campus (TC) Freyung, einem Forschungsstandort der Technischen Hochschule Deggendorf (THD), welcher die Projektleitung inne hat, sind die Unternehmen Schiller Automatisierungstechnik, b-plus technologies, DBRegio und die Gemeinde Spiegela</w:t>
      </w:r>
      <w:r>
        <w:rPr>
          <w:rFonts w:ascii="Saira" w:hAnsi="Saira" w:cstheme="majorHAnsi"/>
        </w:rPr>
        <w:t xml:space="preserve">u an diesem Teilbereich beteiligt. Das Pilotprojekt soll wichtige Erkenntnisse über die Effizienz von autonomen Fahrzeugen in abgelegenen und naturbelassenen Gebieten liefern. </w:t>
      </w:r>
    </w:p>
    <w:p w:rsidR="00384380" w:rsidRDefault="00384380">
      <w:pPr>
        <w:jc w:val="both"/>
        <w:rPr>
          <w:rFonts w:ascii="Saira" w:hAnsi="Saira" w:cstheme="majorHAnsi"/>
        </w:rPr>
      </w:pPr>
    </w:p>
    <w:p w:rsidR="00384380" w:rsidRDefault="00D96849">
      <w:pPr>
        <w:jc w:val="both"/>
        <w:rPr>
          <w:rFonts w:ascii="Saira" w:hAnsi="Saira" w:cstheme="majorHAnsi"/>
        </w:rPr>
      </w:pPr>
      <w:r>
        <w:rPr>
          <w:rFonts w:ascii="Saira" w:hAnsi="Saira" w:cstheme="majorHAnsi"/>
        </w:rPr>
        <w:t>Das Projekt 5GNPR wird vom Bundes</w:t>
      </w:r>
      <w:r w:rsidRPr="00D97925">
        <w:rPr>
          <w:rFonts w:ascii="Saira" w:hAnsi="Saira" w:cstheme="majorHAnsi"/>
        </w:rPr>
        <w:t>ministerium</w:t>
      </w:r>
      <w:r>
        <w:rPr>
          <w:rFonts w:ascii="Saira" w:hAnsi="Saira" w:cstheme="majorHAnsi"/>
        </w:rPr>
        <w:t xml:space="preserve"> für Digitales und Verkehr geförde</w:t>
      </w:r>
      <w:r>
        <w:rPr>
          <w:rFonts w:ascii="Saira" w:hAnsi="Saira" w:cstheme="majorHAnsi"/>
        </w:rPr>
        <w:t>rt und erforscht Anwendungen von 5G für verschiedene Einsatzszenarien in der ländlichen und waldreichen Mittelgebirgsregion rund um den Nationalpark Bayerischer Wald. Diese werden in touristisch geprägten Gemeinden wie Spiegelau getestet. Der Test des Aufb</w:t>
      </w:r>
      <w:r>
        <w:rPr>
          <w:rFonts w:ascii="Saira" w:hAnsi="Saira" w:cstheme="majorHAnsi"/>
        </w:rPr>
        <w:t>aus eines automatisieren Bus Shuttles deckt dabei die Projektsäule Mobilität und Verkehr ab. Die konkrete Teststrecke des Busses führte dabei vom P+R Parkplatz in Spiegelau zum Parkplatz „Gfäll“. Laut dem Projektkoordinator des TC Freyung, Sebastian Kohler</w:t>
      </w:r>
      <w:r>
        <w:rPr>
          <w:rFonts w:ascii="Saira" w:hAnsi="Saira" w:cstheme="majorHAnsi"/>
        </w:rPr>
        <w:t xml:space="preserve">, barg die Streckenbegebenheit hierbei einige Herausforderungen, die im Rahmen des Projekts gemeistert werden mussten. Zahlreiche Sensoren und Kameras, die am Bus angebracht wurden, sammelten und werteten Daten in Echtzeit aus, um eine sichere und präzise </w:t>
      </w:r>
      <w:r>
        <w:rPr>
          <w:rFonts w:ascii="Saira" w:hAnsi="Saira" w:cstheme="majorHAnsi"/>
        </w:rPr>
        <w:t xml:space="preserve">Navigation zu ermöglichen. </w:t>
      </w:r>
    </w:p>
    <w:p w:rsidR="00384380" w:rsidRDefault="00384380">
      <w:pPr>
        <w:jc w:val="both"/>
        <w:rPr>
          <w:rFonts w:ascii="Saira" w:hAnsi="Saira" w:cstheme="majorHAnsi"/>
        </w:rPr>
      </w:pPr>
    </w:p>
    <w:p w:rsidR="00384380" w:rsidRDefault="00D96849">
      <w:pPr>
        <w:jc w:val="both"/>
        <w:rPr>
          <w:rFonts w:ascii="Saira" w:hAnsi="Saira" w:cstheme="majorHAnsi"/>
        </w:rPr>
      </w:pPr>
      <w:r>
        <w:rPr>
          <w:rFonts w:ascii="Saira" w:hAnsi="Saira" w:cstheme="majorHAnsi"/>
        </w:rPr>
        <w:t xml:space="preserve">Die dabei erlangten Ergebnisse können anschließend als Modell für ähnliche Regionen weltweit dienen und damit einen Beitrag zur nachhaltigen Mobilität der Zukunft leisten. „In Deutschland ist der Mangel an Fahrpersonal bereits </w:t>
      </w:r>
      <w:r>
        <w:rPr>
          <w:rFonts w:ascii="Saira" w:hAnsi="Saira" w:cstheme="majorHAnsi"/>
        </w:rPr>
        <w:t xml:space="preserve">sehr groß. Das automatisierte und in Zukunft auch das autonome Fahren kann dazu beitragen, diese Lücke </w:t>
      </w:r>
      <w:r w:rsidR="00047370">
        <w:rPr>
          <w:rFonts w:ascii="Saira" w:hAnsi="Saira" w:cstheme="majorHAnsi"/>
        </w:rPr>
        <w:t>künftig</w:t>
      </w:r>
      <w:r>
        <w:rPr>
          <w:rFonts w:ascii="Saira" w:hAnsi="Saira" w:cstheme="majorHAnsi"/>
        </w:rPr>
        <w:t xml:space="preserve"> zu schließen. Die Erkenntnisse aus dem 5GNPR Projekt werden in neue und auch bereits laufende Projekte mit einfließen, um dem Ziel den ÖPNV durch</w:t>
      </w:r>
      <w:r>
        <w:rPr>
          <w:rFonts w:ascii="Saira" w:hAnsi="Saira" w:cstheme="majorHAnsi"/>
        </w:rPr>
        <w:t xml:space="preserve"> Automatisierung zu stärken ein Stück näher zu kommen“, so Lars Abeler von DBRegio. Bernhard Pfeffer von b-plus technologies sieht zudem weiterführendes Potential in der im Projekt entstandenen Simulationslösung, welche Strecke, Bus und weitere Verkehrstei</w:t>
      </w:r>
      <w:r>
        <w:rPr>
          <w:rFonts w:ascii="Saira" w:hAnsi="Saira" w:cstheme="majorHAnsi"/>
        </w:rPr>
        <w:t>lnehmer virtuell abbildet. Damit könnten künftig verschiedene Auslastungsszenarien beleuchtet und das Verkehrs- und Besuchermanagement verbessert werden.</w:t>
      </w:r>
    </w:p>
    <w:p w:rsidR="00384380" w:rsidRDefault="00384380">
      <w:pPr>
        <w:jc w:val="both"/>
        <w:rPr>
          <w:rFonts w:ascii="Saira" w:hAnsi="Saira" w:cstheme="majorHAnsi"/>
        </w:rPr>
      </w:pPr>
    </w:p>
    <w:p w:rsidR="00384380" w:rsidRDefault="00384380">
      <w:pPr>
        <w:jc w:val="both"/>
        <w:rPr>
          <w:rFonts w:ascii="Saira" w:hAnsi="Saira" w:cstheme="majorHAnsi"/>
        </w:rPr>
      </w:pPr>
    </w:p>
    <w:p w:rsidR="00384380" w:rsidRDefault="00384380">
      <w:pPr>
        <w:rPr>
          <w:rFonts w:ascii="Saira" w:hAnsi="Saira"/>
          <w:b/>
          <w:bCs/>
          <w:sz w:val="18"/>
          <w:szCs w:val="18"/>
        </w:rPr>
      </w:pPr>
    </w:p>
    <w:p w:rsidR="00384380" w:rsidRDefault="00D96849">
      <w:pPr>
        <w:rPr>
          <w:rFonts w:ascii="Saira" w:hAnsi="Saira"/>
          <w:b/>
          <w:bCs/>
          <w:sz w:val="18"/>
          <w:szCs w:val="18"/>
        </w:rPr>
      </w:pPr>
      <w:r>
        <w:rPr>
          <w:rFonts w:ascii="Saira" w:hAnsi="Saira"/>
          <w:b/>
          <w:bCs/>
          <w:sz w:val="18"/>
          <w:szCs w:val="18"/>
        </w:rPr>
        <w:t>Bild: Die Projektpartner von 5GNPR trafen sich zum Abschluss an dem automatisierten Bus in Spiegela</w:t>
      </w:r>
      <w:r>
        <w:rPr>
          <w:rFonts w:ascii="Saira" w:hAnsi="Saira"/>
          <w:b/>
          <w:bCs/>
          <w:sz w:val="18"/>
          <w:szCs w:val="18"/>
        </w:rPr>
        <w:t xml:space="preserve">u </w:t>
      </w:r>
    </w:p>
    <w:p w:rsidR="00384380" w:rsidRDefault="00384380">
      <w:pPr>
        <w:rPr>
          <w:rFonts w:ascii="Saira" w:hAnsi="Saira"/>
          <w:sz w:val="18"/>
        </w:rPr>
      </w:pPr>
    </w:p>
    <w:p w:rsidR="00384380" w:rsidRDefault="00D96849">
      <w:pPr>
        <w:rPr>
          <w:rFonts w:ascii="Saira" w:hAnsi="Saira"/>
          <w:sz w:val="18"/>
          <w:szCs w:val="18"/>
        </w:rPr>
      </w:pPr>
      <w:r>
        <w:rPr>
          <w:rFonts w:ascii="Saira" w:hAnsi="Saira"/>
          <w:sz w:val="18"/>
          <w:szCs w:val="18"/>
        </w:rPr>
        <w:t xml:space="preserve">Das Bild ist für die Medien zur Berichterstattung frei verwendbar, vorausgesetzt, bei der Verwendung wird deutlich sichtbar folgender Copyright-Hinweis angebracht: </w:t>
      </w:r>
      <w:r>
        <w:rPr>
          <w:rFonts w:ascii="Saira" w:hAnsi="Saira"/>
          <w:sz w:val="18"/>
        </w:rPr>
        <w:t>THD</w:t>
      </w:r>
    </w:p>
    <w:p w:rsidR="00384380" w:rsidRDefault="00384380">
      <w:pPr>
        <w:rPr>
          <w:rFonts w:ascii="Saira" w:hAnsi="Saira"/>
          <w:sz w:val="18"/>
        </w:rPr>
      </w:pPr>
    </w:p>
    <w:p w:rsidR="00384380" w:rsidRDefault="00384380">
      <w:pPr>
        <w:rPr>
          <w:rFonts w:ascii="Saira" w:hAnsi="Saira"/>
          <w:sz w:val="18"/>
        </w:rPr>
      </w:pPr>
    </w:p>
    <w:p w:rsidR="00384380" w:rsidRDefault="00D96849">
      <w:pPr>
        <w:rPr>
          <w:rFonts w:ascii="Saira" w:hAnsi="Saira"/>
          <w:b/>
          <w:bCs/>
          <w:sz w:val="18"/>
          <w:szCs w:val="18"/>
        </w:rPr>
      </w:pPr>
      <w:r>
        <w:rPr>
          <w:rFonts w:ascii="Saira" w:hAnsi="Saira"/>
          <w:b/>
          <w:bCs/>
          <w:sz w:val="18"/>
          <w:szCs w:val="18"/>
        </w:rPr>
        <w:lastRenderedPageBreak/>
        <w:t>Über die THD:</w:t>
      </w:r>
    </w:p>
    <w:p w:rsidR="00384380" w:rsidRDefault="00D96849">
      <w:pPr>
        <w:spacing w:before="100" w:beforeAutospacing="1" w:after="100" w:afterAutospacing="1"/>
        <w:rPr>
          <w:rFonts w:ascii="Times New Roman" w:hAnsi="Times New Roman"/>
        </w:rPr>
      </w:pPr>
      <w:r>
        <w:rPr>
          <w:rFonts w:ascii="Saira" w:hAnsi="Saira"/>
          <w:sz w:val="18"/>
          <w:szCs w:val="18"/>
        </w:rPr>
        <w:t xml:space="preserve">Die Technische Hochschule Deggendorf (THD) wurde 1994 gegründet und </w:t>
      </w:r>
      <w:r>
        <w:rPr>
          <w:rFonts w:ascii="Saira" w:hAnsi="Saira"/>
          <w:sz w:val="18"/>
          <w:szCs w:val="18"/>
        </w:rPr>
        <w:t>hat den Anspruch</w:t>
      </w:r>
      <w:r>
        <w:t>,</w:t>
      </w:r>
      <w:r>
        <w:rPr>
          <w:rFonts w:ascii="Saira" w:hAnsi="Saira"/>
          <w:sz w:val="18"/>
          <w:szCs w:val="18"/>
        </w:rPr>
        <w:t xml:space="preserve"> zu den innovativen Vorreitern in der bayerischen Hochschullandschaft zu zählen. Explizit das THD-Konzept der Technologietransferzentren und die damit einhergehende Regionalisierung von Forschung besitzt Vorbildcharakter. So hat die TH Deg</w:t>
      </w:r>
      <w:r>
        <w:rPr>
          <w:rFonts w:ascii="Saira" w:hAnsi="Saira"/>
          <w:sz w:val="18"/>
          <w:szCs w:val="18"/>
        </w:rPr>
        <w:t>gendorf derzeit 17 Technologie Campi und gilt deshalb als eine der forschungsstärksten Hochschulen für Angewandte Wissenschaften in Bayern. Bei der Gestaltung des Transfers von Wissen und Technologie in die Gesellschaft sind Wirtschaft und Kommunen enge Pa</w:t>
      </w:r>
      <w:r>
        <w:rPr>
          <w:rFonts w:ascii="Saira" w:hAnsi="Saira"/>
          <w:sz w:val="18"/>
          <w:szCs w:val="18"/>
        </w:rPr>
        <w:t>rtner der Hochschule. Das wissenschaftliche Profil der THD wird durch vier interdisziplinäre Forschungsschwerpunkte geprägt: “Digital Technologies“, “Sustainable Production &amp; Energy Technologies“, “Smart Materials“ sowie “Quality of Life &amp; Healthcare“.</w:t>
      </w:r>
    </w:p>
    <w:p w:rsidR="00384380" w:rsidRDefault="00D96849">
      <w:pPr>
        <w:spacing w:before="100" w:beforeAutospacing="1" w:after="100" w:afterAutospacing="1"/>
      </w:pPr>
      <w:r>
        <w:rPr>
          <w:rFonts w:ascii="Saira" w:hAnsi="Saira"/>
          <w:sz w:val="18"/>
          <w:szCs w:val="18"/>
        </w:rPr>
        <w:t>Neb</w:t>
      </w:r>
      <w:r>
        <w:rPr>
          <w:rFonts w:ascii="Saira" w:hAnsi="Saira"/>
          <w:sz w:val="18"/>
          <w:szCs w:val="18"/>
        </w:rPr>
        <w:t xml:space="preserve">en der Forschungsstärke sind Internationalisierung und Wachstum weitere Profilthemen der THD. Die Strategie 10.000+ hat sich zum Ziel gesetzt, bis 2030 eben diese Zahl an Studierenden an der THD zu haben. Derzeit sind etwa 8.500 junge Menschen an den drei </w:t>
      </w:r>
      <w:r>
        <w:rPr>
          <w:rFonts w:ascii="Saira" w:hAnsi="Saira"/>
          <w:sz w:val="18"/>
          <w:szCs w:val="18"/>
        </w:rPr>
        <w:t>Studienstandorten Deggendorf, Pfarrkirchen und Cham immatrikuliert. Etwa 45 Prozent davon sind internationale Studierende.</w:t>
      </w:r>
    </w:p>
    <w:p w:rsidR="00384380" w:rsidRDefault="00D96849">
      <w:pPr>
        <w:spacing w:before="100" w:beforeAutospacing="1" w:after="100" w:afterAutospacing="1"/>
      </w:pPr>
      <w:r>
        <w:rPr>
          <w:rFonts w:ascii="Saira" w:hAnsi="Saira"/>
          <w:sz w:val="18"/>
          <w:szCs w:val="18"/>
        </w:rPr>
        <w:t xml:space="preserve">Die acht Fakultäten und das Zentrum für Akademische Weiterbildung bieten mehr als 80 verschiedene Bachelor- und Masterstudiengänge </w:t>
      </w:r>
      <w:r>
        <w:rPr>
          <w:rFonts w:ascii="Saira" w:hAnsi="Saira"/>
          <w:sz w:val="18"/>
          <w:szCs w:val="18"/>
        </w:rPr>
        <w:t>aus den Bereichen Wirtschaftswissenschaften, Ingenieurwissenschaften, Informatik, angewandte Naturwissenschaften sowie Gesundheitswissenschaften an. An der Fakultät European Campus Rottal-Inn (ECRI), werden international ausgerichtete Bachelor- und Masters</w:t>
      </w:r>
      <w:r>
        <w:rPr>
          <w:rFonts w:ascii="Saira" w:hAnsi="Saira"/>
          <w:sz w:val="18"/>
          <w:szCs w:val="18"/>
        </w:rPr>
        <w:t>tudiengänge in den Bereichen Gesundheitswissenschaften, Tourismus und Technik angeboten. Letzteres Thema gilt auch für den dritten Studienstandort der THD in Cham, wo es einen Bachelor und drei Masterstudiengänge gibt.</w:t>
      </w:r>
    </w:p>
    <w:p w:rsidR="00384380" w:rsidRDefault="00D96849">
      <w:pPr>
        <w:spacing w:before="100" w:beforeAutospacing="1" w:after="100" w:afterAutospacing="1"/>
      </w:pPr>
      <w:r>
        <w:rPr>
          <w:rFonts w:ascii="Saira" w:hAnsi="Saira"/>
          <w:sz w:val="18"/>
          <w:szCs w:val="18"/>
        </w:rPr>
        <w:t> </w:t>
      </w:r>
    </w:p>
    <w:p w:rsidR="00384380" w:rsidRDefault="00D96849">
      <w:pPr>
        <w:spacing w:before="100" w:beforeAutospacing="1" w:after="100" w:afterAutospacing="1"/>
      </w:pPr>
      <w:r>
        <w:rPr>
          <w:rFonts w:ascii="Saira" w:hAnsi="Saira"/>
          <w:sz w:val="18"/>
          <w:szCs w:val="18"/>
        </w:rPr>
        <w:t xml:space="preserve">Erfahren Sie mehr über uns: </w:t>
      </w:r>
      <w:hyperlink r:id="rId11" w:tooltip="http://www.th-deg.de" w:history="1">
        <w:r>
          <w:rPr>
            <w:rStyle w:val="Hyperlink"/>
            <w:rFonts w:ascii="Saira" w:hAnsi="Saira"/>
            <w:sz w:val="18"/>
            <w:szCs w:val="18"/>
          </w:rPr>
          <w:t>www.th-deg.de</w:t>
        </w:r>
      </w:hyperlink>
    </w:p>
    <w:p w:rsidR="00384380" w:rsidRDefault="00384380">
      <w:pPr>
        <w:rPr>
          <w:rFonts w:ascii="Saira" w:hAnsi="Saira"/>
          <w:sz w:val="18"/>
          <w:szCs w:val="18"/>
        </w:rPr>
      </w:pPr>
    </w:p>
    <w:p w:rsidR="00384380" w:rsidRDefault="00D96849">
      <w:pPr>
        <w:rPr>
          <w:rFonts w:ascii="Saira" w:hAnsi="Saira"/>
          <w:b/>
          <w:bCs/>
          <w:sz w:val="18"/>
          <w:szCs w:val="18"/>
        </w:rPr>
      </w:pPr>
      <w:r>
        <w:rPr>
          <w:rFonts w:ascii="Saira" w:hAnsi="Saira"/>
          <w:b/>
          <w:bCs/>
          <w:sz w:val="18"/>
          <w:szCs w:val="18"/>
        </w:rPr>
        <w:t>Pressekontakt:</w:t>
      </w:r>
    </w:p>
    <w:p w:rsidR="00384380" w:rsidRDefault="00D96849">
      <w:pPr>
        <w:rPr>
          <w:rFonts w:ascii="Saira" w:hAnsi="Saira"/>
          <w:sz w:val="18"/>
          <w:szCs w:val="18"/>
        </w:rPr>
      </w:pPr>
      <w:r>
        <w:rPr>
          <w:rFonts w:ascii="Saira" w:hAnsi="Saira"/>
          <w:sz w:val="18"/>
          <w:szCs w:val="18"/>
        </w:rPr>
        <w:t>Technische Hochschule Deggendorf</w:t>
      </w:r>
    </w:p>
    <w:p w:rsidR="00384380" w:rsidRDefault="00D96849">
      <w:pPr>
        <w:rPr>
          <w:rFonts w:ascii="Saira" w:hAnsi="Saira"/>
          <w:sz w:val="18"/>
          <w:szCs w:val="18"/>
        </w:rPr>
      </w:pPr>
      <w:r>
        <w:rPr>
          <w:rFonts w:ascii="Saira" w:hAnsi="Saira"/>
          <w:sz w:val="18"/>
          <w:szCs w:val="18"/>
        </w:rPr>
        <w:t>Pressestelle</w:t>
      </w:r>
    </w:p>
    <w:p w:rsidR="00384380" w:rsidRDefault="00D96849">
      <w:pPr>
        <w:rPr>
          <w:rFonts w:ascii="Saira" w:hAnsi="Saira"/>
          <w:sz w:val="18"/>
          <w:szCs w:val="18"/>
        </w:rPr>
      </w:pPr>
      <w:r>
        <w:rPr>
          <w:rFonts w:ascii="Saira" w:hAnsi="Saira"/>
          <w:sz w:val="18"/>
          <w:szCs w:val="18"/>
        </w:rPr>
        <w:t>Dieter-Görlitz-Platz 1</w:t>
      </w:r>
    </w:p>
    <w:p w:rsidR="00384380" w:rsidRDefault="00D96849">
      <w:pPr>
        <w:rPr>
          <w:rFonts w:ascii="Saira" w:hAnsi="Saira"/>
          <w:sz w:val="18"/>
          <w:szCs w:val="18"/>
        </w:rPr>
      </w:pPr>
      <w:r>
        <w:rPr>
          <w:rFonts w:ascii="Saira" w:hAnsi="Saira"/>
          <w:sz w:val="18"/>
          <w:szCs w:val="18"/>
        </w:rPr>
        <w:t>94469 Deggendorf</w:t>
      </w:r>
    </w:p>
    <w:p w:rsidR="00384380" w:rsidRDefault="00D96849">
      <w:pPr>
        <w:rPr>
          <w:rFonts w:ascii="Saira" w:hAnsi="Saira"/>
          <w:sz w:val="18"/>
          <w:szCs w:val="18"/>
        </w:rPr>
      </w:pPr>
      <w:hyperlink r:id="rId12" w:tooltip="mailto:pressestelle@th-deg.de" w:history="1">
        <w:r>
          <w:rPr>
            <w:rStyle w:val="Hyperlink"/>
            <w:rFonts w:ascii="Saira" w:hAnsi="Saira"/>
            <w:sz w:val="18"/>
            <w:szCs w:val="18"/>
          </w:rPr>
          <w:t>pre</w:t>
        </w:r>
        <w:r>
          <w:rPr>
            <w:rStyle w:val="Hyperlink"/>
            <w:rFonts w:ascii="Saira" w:hAnsi="Saira"/>
            <w:sz w:val="18"/>
            <w:szCs w:val="18"/>
          </w:rPr>
          <w:t>ssestelle@th-deg.de</w:t>
        </w:r>
      </w:hyperlink>
      <w:r>
        <w:rPr>
          <w:rFonts w:ascii="Saira" w:hAnsi="Saira"/>
          <w:sz w:val="18"/>
          <w:szCs w:val="18"/>
        </w:rPr>
        <w:t xml:space="preserve"> </w:t>
      </w:r>
    </w:p>
    <w:p w:rsidR="00384380" w:rsidRDefault="00384380">
      <w:pPr>
        <w:rPr>
          <w:rFonts w:ascii="Saira" w:hAnsi="Saira"/>
          <w:sz w:val="18"/>
        </w:rPr>
      </w:pPr>
      <w:bookmarkStart w:id="0" w:name="_GoBack"/>
      <w:bookmarkEnd w:id="0"/>
    </w:p>
    <w:sectPr w:rsidR="00384380">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49" w:rsidRDefault="00D96849">
      <w:r>
        <w:separator/>
      </w:r>
    </w:p>
  </w:endnote>
  <w:endnote w:type="continuationSeparator" w:id="0">
    <w:p w:rsidR="00D96849" w:rsidRDefault="00D9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ir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49" w:rsidRDefault="00D96849">
      <w:r>
        <w:separator/>
      </w:r>
    </w:p>
  </w:footnote>
  <w:footnote w:type="continuationSeparator" w:id="0">
    <w:p w:rsidR="00D96849" w:rsidRDefault="00D96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FB2"/>
    <w:multiLevelType w:val="multilevel"/>
    <w:tmpl w:val="AECEB86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80"/>
    <w:rsid w:val="00047370"/>
    <w:rsid w:val="001636C0"/>
    <w:rsid w:val="00384380"/>
    <w:rsid w:val="00647041"/>
    <w:rsid w:val="00D96849"/>
    <w:rsid w:val="00D97925"/>
    <w:rsid w:val="00EA2681"/>
    <w:rsid w:val="00F9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A59B"/>
  <w15:docId w15:val="{B9F51B14-AC5E-4DCD-BC54-9C0F66C2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spacing w:after="200" w:line="276" w:lineRule="auto"/>
      <w:ind w:left="720"/>
      <w:contextualSpacing/>
    </w:pPr>
    <w:rPr>
      <w:rFonts w:asciiTheme="minorHAnsi" w:hAnsiTheme="minorHAnsi" w:cstheme="minorBidi"/>
    </w:rPr>
  </w:style>
  <w:style w:type="paragraph" w:styleId="Kopfzeile">
    <w:name w:val="header"/>
    <w:basedOn w:val="Standard"/>
    <w:link w:val="KopfzeileZchn"/>
    <w:semiHidden/>
    <w:pPr>
      <w:tabs>
        <w:tab w:val="center" w:pos="4536"/>
        <w:tab w:val="right" w:pos="9072"/>
      </w:tabs>
    </w:pPr>
    <w:rPr>
      <w:rFonts w:ascii="Arial" w:eastAsia="Times New Roman" w:hAnsi="Arial"/>
      <w:sz w:val="24"/>
      <w:szCs w:val="20"/>
      <w:lang w:eastAsia="de-DE"/>
    </w:rPr>
  </w:style>
  <w:style w:type="character" w:customStyle="1" w:styleId="KopfzeileZchn">
    <w:name w:val="Kopfzeile Zchn"/>
    <w:basedOn w:val="Absatz-Standardschriftart"/>
    <w:link w:val="Kopfzeile"/>
    <w:semiHidden/>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200"/>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pPr>
      <w:spacing w:after="0"/>
    </w:pPr>
    <w:rPr>
      <w:rFonts w:ascii="Calibri" w:hAnsi="Calibri" w:cs="Times New Roman"/>
      <w:b/>
      <w:bCs/>
    </w:rPr>
  </w:style>
  <w:style w:type="character" w:customStyle="1" w:styleId="KommentarthemaZchn">
    <w:name w:val="Kommentarthema Zchn"/>
    <w:basedOn w:val="KommentartextZchn"/>
    <w:link w:val="Kommentarthema"/>
    <w:uiPriority w:val="99"/>
    <w:semiHidden/>
    <w:rPr>
      <w:rFonts w:ascii="Calibri" w:hAnsi="Calibri" w:cs="Times New Roman"/>
      <w:b/>
      <w:bCs/>
      <w:sz w:val="20"/>
      <w:szCs w:val="20"/>
    </w:rPr>
  </w:style>
  <w:style w:type="paragraph" w:styleId="berarbeitung">
    <w:name w:val="Revision"/>
    <w:hidden/>
    <w:uiPriority w:val="99"/>
    <w:semiHidden/>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stelle@th-de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deg.de" TargetMode="Externa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5DFB8-7D26-4F75-A18C-B1E59B09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4299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Vorlage</dc:creator>
  <cp:lastModifiedBy>Levke von Drathen</cp:lastModifiedBy>
  <cp:revision>2</cp:revision>
  <dcterms:created xsi:type="dcterms:W3CDTF">2024-08-26T11:23:00Z</dcterms:created>
  <dcterms:modified xsi:type="dcterms:W3CDTF">2024-08-26T11:23:00Z</dcterms:modified>
</cp:coreProperties>
</file>